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№2/2026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01.02.2026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“Когнитивная концептуализация"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16.02.2026 — 16.03.2026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развития техник и навыков “Техники работы с руминациями в когнитивно-поведенческом подходе” продолжительностью 16 академических часов (5 занятий по 2 астрономических часа)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17.02.2026 — 17.03.2026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“Когнитивно-поведенческая терапия гнева"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18.02.2026 — 18.03.2026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«Тренинг  Тематический тренинг Техник и Навыков “Когнитивная концептуализация"»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Тематический тренинг развития техник и навыков “Техники работы с руминациями в когнитивно-поведенческом подходе”» продолжительностью 16 академических часов (5 занятий по 2 астрономических часа).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Тематический тренинг Техник и Навыков “Когнитивно-поведенческая терапия гнева"»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