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№6/2025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01.05.2025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«Тренинг  Тематический тренинг развития техник и навыков “Построение терапевтических отношений и рабочего альянса. Общие и специфические навыки специалиста”» продолжительностью 16 академических часов (5 занятий по 2 астрономических часа)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21.05.2025 — 18.06.2025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«Тренинг  Тематические техники и навыки “Техники работы с суицидальным поведением”» продолжительностью 16 академических часов (5 занятий по 2 астрономических часа)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06.06.2025 — 04.07.2025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${dopcourse#2}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- 32 % (тридцать два процента) от общей выручки за курс «Тренинг  Тематический тренинг развития техник и навыков “Построение терапевтических отношений и рабочего альянса. Общие и специфические навыки специалиста”» продолжительностью 16 академических часов (5 занятий по 2 астрономических часа). Общая выручка рассчитывается по факту присутствующих на каждом из занятий участников курса</w:t>
        <w:br/>
        <w:t>- 32 % (тридцать два процента) от общей выручки за курс «Тренинг  Тематические техники и навыки “Техники работы с суицидальным поведением”» продолжительностью 16 академических часов (5 занятий по 2 астрономических часа).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