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“Формулирование проблем и постановка целей терапии"» продолжительностью 16 академических часов (5 занятия по 3 академических часа )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03.02.2025 — 03.03.2025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развития техник и навыков “Тематические техники и навыки “Когнитивно-поведенческая терапия перфекционизма”» продолжительностью 16 академических часов (5 занятия по 3 академических часа )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04.02.2025 — 04.03.2025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“Когнитивно-поведенческая терапия гнева"» продолжительностью 16 академических часов (5 занятия по 3 академических часа )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05.02.2025 — 05.03.2025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процента) от общей выручки за курс «Тренинг  Тематический тренинг Техник и Навыков “Формулирование проблем и постановка целей терапии"»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«Тренинг  Тематический тренинг развития техник и навыков  “Когнитивно-поведенческая терапия перфекционизма”»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«Тренинг  Тематический тренинг Техник и Навыков “Когнитивно-поведенческая терапия гнева"»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