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№6/2024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10.04.2024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«Тематический тренинг Техник и Навыков “Реструктуризация дисфункциональных убеждений"» продолжительностью 16 академических часов (5 занятий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13.05.2024 — 12.06.2024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Тематический тренинг Техник и Навыков “Формулирование проблем и постановка целей терапии" продолжительностью 16 академических часов (5 занятий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13.05.2024 — 12.06.2024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Тематический тренинг Техник и Навыков “Когнитивная концептуализация" продолжительностью 16 академических часов (5 занятий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13.05.2024 — 12.06.2024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${dopcourse#3}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«Тематический тренинг Техник и Навыков “Реструктуризация дисфункциональных убеждений"» продолжительностью 16 академических часов (5 занятий по 3 академических часа ). Общая выручка рассчитывается по факту присутствующих на каждом из занятий участников курса</w:t>
        <w:br/>
        <w:t>- 35 % (тридцать пять процентов) от общей выручки за курс Тематический тренинг Техник и Навыков “Формулирование проблем и постановка целей терапии". Общая выручка рассчитывается по факту присутствующих на каждом из занятий участников курса</w:t>
        <w:br/>
        <w:t>- 35 % (тридцать пять процентов) от общей выручки за курс Тематический тренинг Техник и Навыков “Когнитивная концептуализация".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