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01.02.2026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Земляных Марина Веанировна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784300974273</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Земляных Марина Веанировна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Земляных Марина Веанировна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784300974273</w:t>
              <w:br/>
              <w:t>Паспорт: Серия 4008 № 541559, кем выдан: выдан Отделом УФМС России по Санкт-Петербургу и Ленинградской области в Кронштадском р-не гор. Санкт-Петербурга, дата выдачи: 2008-07-30</w:t>
              <w:br/>
              <w:t>Адрес: г. Кронштадт, ул. Посадская д.1/82, кв.96</w:t>
              <w:br/>
              <w:t>Банк: АО "ТБанк"</w:t>
              <w:br/>
              <w:t>БИК 044525974</w:t>
              <w:br/>
              <w:t>р/с 40817810600125514432</w:t>
              <w:br/>
              <w:t>к/с 30101810145250000974</w:t>
              <w:br/>
              <w:t>E-mail: mvz6@mail.ru</w:t>
              <w:br/>
              <w:t>Тел.: +7 (960) 231-53-11</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Земляных Марина Веанировна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01.02.2026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Земляных Марина Веанировна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784300974273</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Земляных Марина Веанировна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01.02.2026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