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01.11.2023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Зепсен Александр Андреевич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165719525705</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Зепсен Александр Андреевич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Зепсен Александр Андреевич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165719525705</w:t>
              <w:br/>
              <w:t>Паспорт: Серия 9216 № 060427, кем выдан: Выдан отделом УФМС России по республике Татарстан в Ново-Савиновском районе г. Казани</w:t>
              <w:br/>
              <w:t>Адрес: -</w:t>
              <w:br/>
              <w:t>Банк: ОТДЕЛЕНИЕ "БАНК ТАТАРСТАН" N8610 ПАО СБЕРБАН</w:t>
              <w:br/>
              <w:t>БИК 049205603</w:t>
              <w:br/>
              <w:t>р/с 40817810262001408399</w:t>
              <w:br/>
              <w:t>к/с 30101810600000000603</w:t>
              <w:br/>
              <w:t>E-mail: zepsen_psy@mail.ru</w:t>
              <w:br/>
              <w:t>Тел.: +7 917 925 2058</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Зепсен Александр Андреевич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01.11.2023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01.11.2023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Зепсен Александр Андреевич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165719525705</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Зепсен Александр Андреевич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01.11.2023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01.11.2023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01.11.2023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